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4800" w14:textId="4728B62E" w:rsidR="00D412E1" w:rsidRPr="00D60356" w:rsidRDefault="00D412E1" w:rsidP="00D412E1">
      <w:pPr>
        <w:rPr>
          <w:rFonts w:asciiTheme="minorHAnsi" w:hAnsiTheme="minorHAnsi" w:cstheme="minorHAnsi"/>
          <w:b/>
          <w:bCs/>
        </w:rPr>
      </w:pPr>
      <w:r w:rsidRPr="00D60356">
        <w:rPr>
          <w:rFonts w:asciiTheme="minorHAnsi" w:hAnsiTheme="minorHAnsi" w:cstheme="minorHAnsi"/>
          <w:b/>
          <w:bCs/>
        </w:rPr>
        <w:t>Fyrirmæli um vinnslu persónuupplýsinga</w:t>
      </w:r>
      <w:r w:rsidR="007F1AD1" w:rsidRPr="00D60356">
        <w:rPr>
          <w:rFonts w:asciiTheme="minorHAnsi" w:hAnsiTheme="minorHAnsi" w:cstheme="minorHAnsi"/>
          <w:b/>
          <w:bCs/>
        </w:rPr>
        <w:t xml:space="preserve"> – viðauki við vinnsluskilmála</w:t>
      </w:r>
    </w:p>
    <w:p w14:paraId="67BDAB53" w14:textId="7262841D" w:rsidR="00D412E1" w:rsidRPr="00D60356" w:rsidRDefault="00D412E1" w:rsidP="00D412E1">
      <w:pPr>
        <w:rPr>
          <w:rFonts w:asciiTheme="minorHAnsi" w:hAnsiTheme="minorHAnsi" w:cstheme="minorHAnsi"/>
          <w:b/>
          <w:bCs/>
        </w:rPr>
      </w:pPr>
    </w:p>
    <w:p w14:paraId="48733B21" w14:textId="59B08B00" w:rsidR="00D412E1" w:rsidRPr="00D60356" w:rsidRDefault="007F1AD1" w:rsidP="00D412E1">
      <w:pPr>
        <w:rPr>
          <w:rFonts w:asciiTheme="minorHAnsi" w:hAnsiTheme="minorHAnsi" w:cstheme="minorHAnsi"/>
        </w:rPr>
      </w:pPr>
      <w:r w:rsidRPr="00D60356">
        <w:rPr>
          <w:rFonts w:asciiTheme="minorHAnsi" w:hAnsiTheme="minorHAnsi" w:cstheme="minorHAnsi"/>
        </w:rPr>
        <w:t>Til viðbótar og</w:t>
      </w:r>
      <w:r w:rsidR="007C4419" w:rsidRPr="00D60356">
        <w:rPr>
          <w:rFonts w:asciiTheme="minorHAnsi" w:hAnsiTheme="minorHAnsi" w:cstheme="minorHAnsi"/>
        </w:rPr>
        <w:t xml:space="preserve"> fyllingar</w:t>
      </w:r>
      <w:r w:rsidR="00D412E1" w:rsidRPr="00D60356">
        <w:rPr>
          <w:rFonts w:asciiTheme="minorHAnsi" w:hAnsiTheme="minorHAnsi" w:cstheme="minorHAnsi"/>
        </w:rPr>
        <w:t xml:space="preserve"> vinnsluskilmála … / vinnslusamning </w:t>
      </w:r>
      <w:r w:rsidR="007C4419" w:rsidRPr="00D60356">
        <w:rPr>
          <w:rFonts w:asciiTheme="minorHAnsi" w:hAnsiTheme="minorHAnsi" w:cstheme="minorHAnsi"/>
        </w:rPr>
        <w:t>og annarra samninga milli aðila er hér að finna nánari upplýsingar og fyrirmæli [Heiti ábyrgðaraðila]</w:t>
      </w:r>
      <w:r w:rsidR="00725649" w:rsidRPr="00D60356">
        <w:rPr>
          <w:rFonts w:asciiTheme="minorHAnsi" w:hAnsiTheme="minorHAnsi" w:cstheme="minorHAnsi"/>
        </w:rPr>
        <w:t xml:space="preserve"> (ábyrgðaraðili)</w:t>
      </w:r>
      <w:r w:rsidR="007C4419" w:rsidRPr="00D60356">
        <w:rPr>
          <w:rFonts w:asciiTheme="minorHAnsi" w:hAnsiTheme="minorHAnsi" w:cstheme="minorHAnsi"/>
        </w:rPr>
        <w:t xml:space="preserve"> til [Heiti vinnsluaðila] </w:t>
      </w:r>
      <w:r w:rsidR="00725649" w:rsidRPr="00D60356">
        <w:rPr>
          <w:rFonts w:asciiTheme="minorHAnsi" w:hAnsiTheme="minorHAnsi" w:cstheme="minorHAnsi"/>
        </w:rPr>
        <w:t xml:space="preserve">(vinnsluaðili) </w:t>
      </w:r>
      <w:r w:rsidR="007C4419" w:rsidRPr="00D60356">
        <w:rPr>
          <w:rFonts w:asciiTheme="minorHAnsi" w:hAnsiTheme="minorHAnsi" w:cstheme="minorHAnsi"/>
        </w:rPr>
        <w:t>um vinnslu persónuupplýsinga.</w:t>
      </w:r>
    </w:p>
    <w:p w14:paraId="17AFE6D5" w14:textId="30C78213" w:rsidR="007C4419" w:rsidRPr="00D60356" w:rsidRDefault="007C4419" w:rsidP="00D412E1">
      <w:pPr>
        <w:rPr>
          <w:rFonts w:asciiTheme="minorHAnsi" w:hAnsiTheme="minorHAnsi" w:cstheme="minorHAnsi"/>
        </w:rPr>
      </w:pPr>
    </w:p>
    <w:p w14:paraId="70D5D536" w14:textId="2335D1C3" w:rsidR="007C4419" w:rsidRPr="00D60356" w:rsidRDefault="007C4419" w:rsidP="00D412E1">
      <w:pPr>
        <w:rPr>
          <w:rFonts w:asciiTheme="minorHAnsi" w:hAnsiTheme="minorHAnsi" w:cstheme="minorHAnsi"/>
          <w:b/>
          <w:bCs/>
        </w:rPr>
      </w:pPr>
      <w:r w:rsidRPr="00D60356">
        <w:rPr>
          <w:rFonts w:asciiTheme="minorHAnsi" w:hAnsiTheme="minorHAnsi" w:cstheme="minorHAnsi"/>
          <w:b/>
          <w:bCs/>
        </w:rPr>
        <w:t>A. Upplýsingar um vinnsluna</w:t>
      </w:r>
    </w:p>
    <w:p w14:paraId="62BCFBA2" w14:textId="77777777" w:rsidR="007C4419" w:rsidRPr="00D60356" w:rsidRDefault="007C4419" w:rsidP="00D412E1">
      <w:pPr>
        <w:rPr>
          <w:rFonts w:asciiTheme="minorHAnsi" w:hAnsiTheme="minorHAnsi" w:cstheme="minorHAnsi"/>
        </w:rPr>
      </w:pPr>
    </w:p>
    <w:p w14:paraId="6EB77FA7" w14:textId="7D64100F" w:rsidR="007C4419" w:rsidRPr="00D60356" w:rsidRDefault="007C4419" w:rsidP="007C4419">
      <w:pPr>
        <w:rPr>
          <w:rFonts w:asciiTheme="minorHAnsi" w:hAnsiTheme="minorHAnsi" w:cstheme="minorHAnsi"/>
        </w:rPr>
      </w:pPr>
      <w:r w:rsidRPr="00D60356">
        <w:rPr>
          <w:rFonts w:asciiTheme="minorHAnsi" w:hAnsiTheme="minorHAnsi" w:cstheme="minorHAnsi"/>
          <w:i/>
          <w:iCs/>
        </w:rPr>
        <w:t>A.1. Tilgangur vinnslunnar er:</w:t>
      </w:r>
      <w:r w:rsidRPr="00D60356">
        <w:rPr>
          <w:rFonts w:asciiTheme="minorHAnsi" w:hAnsiTheme="minorHAnsi" w:cstheme="minorHAnsi"/>
        </w:rPr>
        <w:t xml:space="preserve"> [...]</w:t>
      </w:r>
    </w:p>
    <w:p w14:paraId="0298CF9A" w14:textId="77777777" w:rsidR="007C4419" w:rsidRPr="00D60356" w:rsidRDefault="007C4419" w:rsidP="007C4419">
      <w:pPr>
        <w:rPr>
          <w:rFonts w:asciiTheme="minorHAnsi" w:hAnsiTheme="minorHAnsi" w:cstheme="minorHAnsi"/>
        </w:rPr>
      </w:pPr>
    </w:p>
    <w:p w14:paraId="10A92035" w14:textId="64D15E3B" w:rsidR="007C4419" w:rsidRPr="00D60356" w:rsidRDefault="007C4419" w:rsidP="007C4419">
      <w:pPr>
        <w:rPr>
          <w:rFonts w:asciiTheme="minorHAnsi" w:hAnsiTheme="minorHAnsi" w:cstheme="minorHAnsi"/>
        </w:rPr>
      </w:pPr>
      <w:r w:rsidRPr="00D60356">
        <w:rPr>
          <w:rFonts w:asciiTheme="minorHAnsi" w:hAnsiTheme="minorHAnsi" w:cstheme="minorHAnsi"/>
          <w:i/>
          <w:iCs/>
        </w:rPr>
        <w:t>A.2. Vinnslan felst í að</w:t>
      </w:r>
      <w:r w:rsidRPr="00D60356">
        <w:rPr>
          <w:rFonts w:asciiTheme="minorHAnsi" w:hAnsiTheme="minorHAnsi" w:cstheme="minorHAnsi"/>
        </w:rPr>
        <w:t xml:space="preserve"> (Eðli þeirrar vinnslustarfsemi sem um ræðir)</w:t>
      </w:r>
      <w:r w:rsidRPr="00D60356">
        <w:rPr>
          <w:rFonts w:asciiTheme="minorHAnsi" w:hAnsiTheme="minorHAnsi" w:cstheme="minorHAnsi"/>
          <w:i/>
          <w:iCs/>
        </w:rPr>
        <w:t xml:space="preserve">: </w:t>
      </w:r>
      <w:r w:rsidRPr="00D60356">
        <w:rPr>
          <w:rFonts w:asciiTheme="minorHAnsi" w:hAnsiTheme="minorHAnsi" w:cstheme="minorHAnsi"/>
        </w:rPr>
        <w:t>[...]</w:t>
      </w:r>
    </w:p>
    <w:p w14:paraId="1103E377" w14:textId="77777777" w:rsidR="007C4419" w:rsidRPr="00D60356" w:rsidRDefault="007C4419" w:rsidP="007C4419">
      <w:pPr>
        <w:rPr>
          <w:rFonts w:asciiTheme="minorHAnsi" w:hAnsiTheme="minorHAnsi" w:cstheme="minorHAnsi"/>
        </w:rPr>
      </w:pPr>
    </w:p>
    <w:p w14:paraId="1704DE0E" w14:textId="070E4EDF" w:rsidR="007C4419" w:rsidRPr="00D60356" w:rsidRDefault="007C4419" w:rsidP="007C4419">
      <w:pPr>
        <w:rPr>
          <w:rFonts w:asciiTheme="minorHAnsi" w:hAnsiTheme="minorHAnsi" w:cstheme="minorHAnsi"/>
        </w:rPr>
      </w:pPr>
      <w:r w:rsidRPr="00D60356">
        <w:rPr>
          <w:rFonts w:asciiTheme="minorHAnsi" w:hAnsiTheme="minorHAnsi" w:cstheme="minorHAnsi"/>
          <w:i/>
          <w:iCs/>
        </w:rPr>
        <w:t>A.3. Vinnsluaðila er heimilt að vinna með eftirfarandi tegundir persónuupplýsinga:</w:t>
      </w:r>
      <w:r w:rsidRPr="00D60356">
        <w:rPr>
          <w:rFonts w:asciiTheme="minorHAnsi" w:hAnsiTheme="minorHAnsi" w:cstheme="minorHAnsi"/>
        </w:rPr>
        <w:t xml:space="preserve"> [...] </w:t>
      </w:r>
    </w:p>
    <w:p w14:paraId="557B73CF" w14:textId="77777777" w:rsidR="007C4419" w:rsidRPr="00D60356" w:rsidRDefault="007C4419" w:rsidP="007C4419">
      <w:pPr>
        <w:rPr>
          <w:rFonts w:asciiTheme="minorHAnsi" w:hAnsiTheme="minorHAnsi" w:cstheme="minorHAnsi"/>
        </w:rPr>
      </w:pPr>
      <w:r w:rsidRPr="00D60356">
        <w:rPr>
          <w:rFonts w:asciiTheme="minorHAnsi" w:hAnsiTheme="minorHAnsi" w:cstheme="minorHAnsi"/>
        </w:rPr>
        <w:t>[Dæmi: „Nafn, netfang, símanúmer, heimilisfang, kennitala, greiðslukortaupplýsingar, aðildarnúmer, tegund félagsaðildar.“ ]</w:t>
      </w:r>
    </w:p>
    <w:p w14:paraId="7C16AE94" w14:textId="77777777" w:rsidR="007C4419" w:rsidRPr="00D60356" w:rsidRDefault="007C4419" w:rsidP="007C4419">
      <w:pPr>
        <w:rPr>
          <w:rFonts w:asciiTheme="minorHAnsi" w:hAnsiTheme="minorHAnsi" w:cstheme="minorHAnsi"/>
        </w:rPr>
      </w:pPr>
      <w:r w:rsidRPr="00D60356">
        <w:rPr>
          <w:rFonts w:asciiTheme="minorHAnsi" w:hAnsiTheme="minorHAnsi" w:cstheme="minorHAnsi"/>
        </w:rPr>
        <w:t xml:space="preserve">Ath. ofangreind lýsing skal vera eins nákvæm og mögulegt er. Í öllum tilvikum skal tegundum persónuupplýsinga nánar lýst heldur en aðeins „persónuupplýsingar“, sbr. skilgreiningu 1. málsgrein 4. gr. persónuverndarreglugerðarinnar eða „sérstakir flokkar persónuupplýsinga“ sbr. 6., 9. eða 10. gr. reglugerðarinnar. </w:t>
      </w:r>
    </w:p>
    <w:p w14:paraId="5087E7C5" w14:textId="77777777" w:rsidR="007C4419" w:rsidRPr="00D60356" w:rsidRDefault="007C4419" w:rsidP="007C4419">
      <w:pPr>
        <w:rPr>
          <w:rFonts w:asciiTheme="minorHAnsi" w:hAnsiTheme="minorHAnsi" w:cstheme="minorHAnsi"/>
        </w:rPr>
      </w:pPr>
    </w:p>
    <w:p w14:paraId="0D345091" w14:textId="26095ED5" w:rsidR="007C4419" w:rsidRPr="00D60356" w:rsidRDefault="007C4419" w:rsidP="007C4419">
      <w:pPr>
        <w:rPr>
          <w:rFonts w:asciiTheme="minorHAnsi" w:hAnsiTheme="minorHAnsi" w:cstheme="minorHAnsi"/>
        </w:rPr>
      </w:pPr>
      <w:r w:rsidRPr="00D60356">
        <w:rPr>
          <w:rFonts w:asciiTheme="minorHAnsi" w:hAnsiTheme="minorHAnsi" w:cstheme="minorHAnsi"/>
          <w:i/>
          <w:iCs/>
        </w:rPr>
        <w:t>A.4. Vinnsluaðila er heimilt að vinna með eftirfarandi flokka af skráðum einstaklingum:</w:t>
      </w:r>
      <w:r w:rsidRPr="00D60356">
        <w:rPr>
          <w:rFonts w:asciiTheme="minorHAnsi" w:hAnsiTheme="minorHAnsi" w:cstheme="minorHAnsi"/>
        </w:rPr>
        <w:t xml:space="preserve"> [...]</w:t>
      </w:r>
    </w:p>
    <w:p w14:paraId="21082C72" w14:textId="77777777" w:rsidR="007C4419" w:rsidRPr="00D60356" w:rsidRDefault="007C4419" w:rsidP="007C4419">
      <w:pPr>
        <w:rPr>
          <w:rFonts w:asciiTheme="minorHAnsi" w:hAnsiTheme="minorHAnsi" w:cstheme="minorHAnsi"/>
        </w:rPr>
      </w:pPr>
    </w:p>
    <w:p w14:paraId="2D21D84E" w14:textId="4107263D" w:rsidR="007C4419" w:rsidRPr="00D60356" w:rsidRDefault="007C4419" w:rsidP="007C4419">
      <w:pPr>
        <w:rPr>
          <w:rFonts w:asciiTheme="minorHAnsi" w:hAnsiTheme="minorHAnsi" w:cstheme="minorHAnsi"/>
        </w:rPr>
      </w:pPr>
      <w:r w:rsidRPr="00D60356">
        <w:rPr>
          <w:rFonts w:asciiTheme="minorHAnsi" w:hAnsiTheme="minorHAnsi" w:cstheme="minorHAnsi"/>
          <w:i/>
          <w:iCs/>
        </w:rPr>
        <w:t>A.</w:t>
      </w:r>
      <w:r w:rsidR="00725649" w:rsidRPr="00D60356">
        <w:rPr>
          <w:rFonts w:asciiTheme="minorHAnsi" w:hAnsiTheme="minorHAnsi" w:cstheme="minorHAnsi"/>
          <w:i/>
          <w:iCs/>
        </w:rPr>
        <w:t>5</w:t>
      </w:r>
      <w:r w:rsidRPr="00D60356">
        <w:rPr>
          <w:rFonts w:asciiTheme="minorHAnsi" w:hAnsiTheme="minorHAnsi" w:cstheme="minorHAnsi"/>
          <w:i/>
          <w:iCs/>
        </w:rPr>
        <w:t>. Vinnsluaðili getur hafið vinnslu persónuupplýsinga fyrir hönd ábyrgðaraðila eftir gildistöku samnings þessa. Vinnslan varir í eftirfarandi tíma:</w:t>
      </w:r>
      <w:r w:rsidRPr="00D60356">
        <w:rPr>
          <w:rFonts w:asciiTheme="minorHAnsi" w:hAnsiTheme="minorHAnsi" w:cstheme="minorHAnsi"/>
        </w:rPr>
        <w:t xml:space="preserve"> [...]</w:t>
      </w:r>
    </w:p>
    <w:p w14:paraId="298780E9" w14:textId="519DD227" w:rsidR="007C4419" w:rsidRPr="00D60356" w:rsidRDefault="007C4419" w:rsidP="00D412E1">
      <w:pPr>
        <w:rPr>
          <w:rFonts w:asciiTheme="minorHAnsi" w:hAnsiTheme="minorHAnsi" w:cstheme="minorHAnsi"/>
        </w:rPr>
      </w:pPr>
    </w:p>
    <w:p w14:paraId="2E94073F" w14:textId="0D355918" w:rsidR="007C4419" w:rsidRPr="00D60356" w:rsidRDefault="00725649" w:rsidP="00D412E1">
      <w:pPr>
        <w:rPr>
          <w:rFonts w:asciiTheme="minorHAnsi" w:hAnsiTheme="minorHAnsi" w:cstheme="minorHAnsi"/>
          <w:b/>
          <w:bCs/>
        </w:rPr>
      </w:pPr>
      <w:r w:rsidRPr="00D60356">
        <w:rPr>
          <w:rFonts w:asciiTheme="minorHAnsi" w:hAnsiTheme="minorHAnsi" w:cstheme="minorHAnsi"/>
          <w:b/>
          <w:bCs/>
        </w:rPr>
        <w:t>B. Nánari fyrirmæli um vinnsluna (ef við á)</w:t>
      </w:r>
    </w:p>
    <w:p w14:paraId="55D2F00B" w14:textId="2D74F3F7" w:rsidR="007C4419" w:rsidRPr="00D60356" w:rsidRDefault="00725649" w:rsidP="00D412E1">
      <w:pPr>
        <w:rPr>
          <w:rFonts w:asciiTheme="minorHAnsi" w:hAnsiTheme="minorHAnsi" w:cstheme="minorHAnsi"/>
        </w:rPr>
      </w:pPr>
      <w:r w:rsidRPr="00D60356">
        <w:rPr>
          <w:rFonts w:asciiTheme="minorHAnsi" w:hAnsiTheme="minorHAnsi" w:cstheme="minorHAnsi"/>
        </w:rPr>
        <w:t>[Leiðbeiningar: þegar þörf er á þá skal ábyrgðaraðili lýsa nánar fyrirmælum til vinnsluaðila um vinnsluna, svo sem ef hann gerir sérstakar og meiri kröfur til öryggisráðstafna, varðveislutíma eða annars en almennt er kveðið á um í stöðluðum vinnsluskilmálum / - samningum. Það sem ekki er notað skal fjarlægt úr skjalinu.]</w:t>
      </w:r>
    </w:p>
    <w:p w14:paraId="5F31FC4E" w14:textId="77777777" w:rsidR="00725649" w:rsidRPr="00D60356" w:rsidRDefault="00725649" w:rsidP="00D412E1">
      <w:pPr>
        <w:rPr>
          <w:rFonts w:asciiTheme="minorHAnsi" w:hAnsiTheme="minorHAnsi" w:cstheme="minorHAnsi"/>
        </w:rPr>
      </w:pPr>
    </w:p>
    <w:p w14:paraId="6C360D64" w14:textId="77777777" w:rsidR="00725649" w:rsidRPr="00D60356" w:rsidRDefault="00725649" w:rsidP="00725649">
      <w:pPr>
        <w:rPr>
          <w:rFonts w:asciiTheme="minorHAnsi" w:hAnsiTheme="minorHAnsi" w:cstheme="minorHAnsi"/>
          <w:i/>
          <w:iCs/>
        </w:rPr>
      </w:pPr>
      <w:r w:rsidRPr="00D60356">
        <w:rPr>
          <w:rFonts w:asciiTheme="minorHAnsi" w:hAnsiTheme="minorHAnsi" w:cstheme="minorHAnsi"/>
          <w:i/>
          <w:iCs/>
        </w:rPr>
        <w:t>B.1. Viðfangsefni / fyrirmæli vinnslu</w:t>
      </w:r>
    </w:p>
    <w:p w14:paraId="70ACB30E" w14:textId="77777777" w:rsidR="00725649" w:rsidRPr="00D60356" w:rsidRDefault="00725649" w:rsidP="00725649">
      <w:pPr>
        <w:rPr>
          <w:rFonts w:asciiTheme="minorHAnsi" w:hAnsiTheme="minorHAnsi" w:cstheme="minorHAnsi"/>
        </w:rPr>
      </w:pPr>
      <w:r w:rsidRPr="00D60356">
        <w:rPr>
          <w:rFonts w:asciiTheme="minorHAnsi" w:hAnsiTheme="minorHAnsi" w:cstheme="minorHAnsi"/>
        </w:rPr>
        <w:t>Vinnsla persónuupplýsinga fyrir hönd ábyrgðaraðila skal fara fram af vinnsluaðila sem gerir eftirfarandi:</w:t>
      </w:r>
    </w:p>
    <w:p w14:paraId="4B3218B3" w14:textId="79B8467C" w:rsidR="00725649" w:rsidRPr="00D60356" w:rsidRDefault="00725649" w:rsidP="00725649">
      <w:pPr>
        <w:rPr>
          <w:rFonts w:asciiTheme="minorHAnsi" w:hAnsiTheme="minorHAnsi" w:cstheme="minorHAnsi"/>
        </w:rPr>
      </w:pPr>
      <w:r w:rsidRPr="00D60356">
        <w:rPr>
          <w:rFonts w:asciiTheme="minorHAnsi" w:hAnsiTheme="minorHAnsi" w:cstheme="minorHAnsi"/>
        </w:rPr>
        <w:t>[Lýs</w:t>
      </w:r>
      <w:r w:rsidR="007F1AD1" w:rsidRPr="00D60356">
        <w:rPr>
          <w:rFonts w:asciiTheme="minorHAnsi" w:hAnsiTheme="minorHAnsi" w:cstheme="minorHAnsi"/>
        </w:rPr>
        <w:t>ing á</w:t>
      </w:r>
      <w:r w:rsidRPr="00D60356">
        <w:rPr>
          <w:rFonts w:asciiTheme="minorHAnsi" w:hAnsiTheme="minorHAnsi" w:cstheme="minorHAnsi"/>
        </w:rPr>
        <w:t xml:space="preserve"> vinnslunni sem vinnsluaðili framkvæmir]</w:t>
      </w:r>
    </w:p>
    <w:p w14:paraId="66306437" w14:textId="77777777" w:rsidR="00725649" w:rsidRPr="00D60356" w:rsidRDefault="00725649" w:rsidP="00725649">
      <w:pPr>
        <w:rPr>
          <w:rFonts w:asciiTheme="minorHAnsi" w:hAnsiTheme="minorHAnsi" w:cstheme="minorHAnsi"/>
        </w:rPr>
      </w:pPr>
    </w:p>
    <w:p w14:paraId="2FEFB0DE" w14:textId="4B6E5BD6" w:rsidR="00725649" w:rsidRPr="00D60356" w:rsidRDefault="00725649" w:rsidP="00725649">
      <w:pPr>
        <w:rPr>
          <w:rFonts w:asciiTheme="minorHAnsi" w:hAnsiTheme="minorHAnsi" w:cstheme="minorHAnsi"/>
          <w:i/>
          <w:iCs/>
        </w:rPr>
      </w:pPr>
      <w:r w:rsidRPr="00D60356">
        <w:rPr>
          <w:rFonts w:asciiTheme="minorHAnsi" w:hAnsiTheme="minorHAnsi" w:cstheme="minorHAnsi"/>
          <w:i/>
          <w:iCs/>
        </w:rPr>
        <w:t xml:space="preserve">B.2. Öryggisráðstafanir </w:t>
      </w:r>
    </w:p>
    <w:p w14:paraId="14602FD9" w14:textId="3AEDB346" w:rsidR="007F1AD1" w:rsidRPr="00D60356" w:rsidRDefault="007F1AD1" w:rsidP="00725649">
      <w:pPr>
        <w:rPr>
          <w:rFonts w:asciiTheme="minorHAnsi" w:hAnsiTheme="minorHAnsi" w:cstheme="minorHAnsi"/>
        </w:rPr>
      </w:pPr>
      <w:r w:rsidRPr="00D60356">
        <w:rPr>
          <w:rFonts w:asciiTheme="minorHAnsi" w:hAnsiTheme="minorHAnsi" w:cstheme="minorHAnsi"/>
        </w:rPr>
        <w:t>[Með hliðsjón af eðli, umfangi, samhengi og tilgangi vinnslunnar sem og margvíslegri áhættu fyrir réttindi og frelsi einstaklinga, skal lýsa þeim viðeigandi tæknilegu og skipulagslegu öryggisráðstöfunum sem eru nauðsynlegar til að tryggja öryggi vinnslunnar. Dæmi: ef vinnslan felur í sér mikið magn af persónuupplýsingum sem falla undir 9. gr. almennu persónuverndarreglugerðarinnar um „sérstaka flokka persónuupplýsinga“]</w:t>
      </w:r>
    </w:p>
    <w:p w14:paraId="6B7D3DC8" w14:textId="77777777" w:rsidR="007F1AD1" w:rsidRPr="00D60356" w:rsidRDefault="007F1AD1" w:rsidP="00725649">
      <w:pPr>
        <w:rPr>
          <w:rFonts w:asciiTheme="minorHAnsi" w:hAnsiTheme="minorHAnsi" w:cstheme="minorHAnsi"/>
        </w:rPr>
      </w:pPr>
    </w:p>
    <w:p w14:paraId="4F2A71FC" w14:textId="36C8DFCF" w:rsidR="00725649" w:rsidRPr="00D60356" w:rsidRDefault="007F1AD1" w:rsidP="00725649">
      <w:pPr>
        <w:rPr>
          <w:rFonts w:asciiTheme="minorHAnsi" w:hAnsiTheme="minorHAnsi" w:cstheme="minorHAnsi"/>
        </w:rPr>
      </w:pPr>
      <w:r w:rsidRPr="00D60356">
        <w:rPr>
          <w:rFonts w:asciiTheme="minorHAnsi" w:hAnsiTheme="minorHAnsi" w:cstheme="minorHAnsi"/>
        </w:rPr>
        <w:t xml:space="preserve">[Val 1] </w:t>
      </w:r>
      <w:r w:rsidR="00725649" w:rsidRPr="00D60356">
        <w:rPr>
          <w:rFonts w:asciiTheme="minorHAnsi" w:hAnsiTheme="minorHAnsi" w:cstheme="minorHAnsi"/>
        </w:rPr>
        <w:t xml:space="preserve">Vinnsluaðili skal hér eftir eiga rétt á og er skylt að taka ákvarðanir um tæknilegar og </w:t>
      </w:r>
      <w:proofErr w:type="spellStart"/>
      <w:r w:rsidR="00725649" w:rsidRPr="00D60356">
        <w:rPr>
          <w:rFonts w:asciiTheme="minorHAnsi" w:hAnsiTheme="minorHAnsi" w:cstheme="minorHAnsi"/>
        </w:rPr>
        <w:t>skipulagslegar</w:t>
      </w:r>
      <w:proofErr w:type="spellEnd"/>
      <w:r w:rsidR="00725649" w:rsidRPr="00D60356">
        <w:rPr>
          <w:rFonts w:asciiTheme="minorHAnsi" w:hAnsiTheme="minorHAnsi" w:cstheme="minorHAnsi"/>
        </w:rPr>
        <w:t xml:space="preserve"> öryggisráðstafanir sem gera þarf til að tryggja öryggi upplýsinganna með hliðsjón af áhættu.</w:t>
      </w:r>
      <w:r w:rsidRPr="00D60356">
        <w:rPr>
          <w:rFonts w:asciiTheme="minorHAnsi" w:hAnsiTheme="minorHAnsi" w:cstheme="minorHAnsi"/>
        </w:rPr>
        <w:t xml:space="preserve"> </w:t>
      </w:r>
      <w:r w:rsidR="00725649" w:rsidRPr="00D60356">
        <w:rPr>
          <w:rFonts w:asciiTheme="minorHAnsi" w:hAnsiTheme="minorHAnsi" w:cstheme="minorHAnsi"/>
        </w:rPr>
        <w:t>Vinnsluaðili skal þó, í öllum tilvikum og í lágmarki, framkvæma eftirfarandi ráðstafanir sem samið hefur verið um með ábyrgðaraðila:</w:t>
      </w:r>
    </w:p>
    <w:p w14:paraId="5C6A0797" w14:textId="77777777" w:rsidR="007F1AD1" w:rsidRPr="00D60356" w:rsidRDefault="007F1AD1" w:rsidP="00725649">
      <w:pPr>
        <w:rPr>
          <w:rFonts w:asciiTheme="minorHAnsi" w:hAnsiTheme="minorHAnsi" w:cstheme="minorHAnsi"/>
        </w:rPr>
      </w:pPr>
    </w:p>
    <w:p w14:paraId="2A63AA9D" w14:textId="4A22A1F3" w:rsidR="00725649" w:rsidRPr="00D60356" w:rsidRDefault="007F1AD1" w:rsidP="00725649">
      <w:pPr>
        <w:rPr>
          <w:rFonts w:asciiTheme="minorHAnsi" w:hAnsiTheme="minorHAnsi" w:cstheme="minorHAnsi"/>
        </w:rPr>
      </w:pPr>
      <w:r w:rsidRPr="00D60356">
        <w:rPr>
          <w:rFonts w:asciiTheme="minorHAnsi" w:hAnsiTheme="minorHAnsi" w:cstheme="minorHAnsi"/>
        </w:rPr>
        <w:t xml:space="preserve">[Val 2] </w:t>
      </w:r>
      <w:r w:rsidR="00725649" w:rsidRPr="00D60356">
        <w:rPr>
          <w:rFonts w:asciiTheme="minorHAnsi" w:hAnsiTheme="minorHAnsi" w:cstheme="minorHAnsi"/>
        </w:rPr>
        <w:t>Vinnsluaðili skal innleiða eftirfarandi öryggisráðstafanir</w:t>
      </w:r>
      <w:r w:rsidRPr="00D60356">
        <w:rPr>
          <w:rFonts w:asciiTheme="minorHAnsi" w:hAnsiTheme="minorHAnsi" w:cstheme="minorHAnsi"/>
        </w:rPr>
        <w:t xml:space="preserve"> [Sjá dæmi um fyrirmæli í tengslum við öryggi í drögum að samningsviðauka frá Netöryggisráði]:</w:t>
      </w:r>
    </w:p>
    <w:p w14:paraId="61CA15D3" w14:textId="77777777" w:rsidR="007F1AD1" w:rsidRPr="00D60356" w:rsidRDefault="007F1AD1" w:rsidP="007F1AD1">
      <w:pPr>
        <w:pStyle w:val="Mlsgreinlista"/>
        <w:numPr>
          <w:ilvl w:val="0"/>
          <w:numId w:val="2"/>
        </w:numPr>
        <w:rPr>
          <w:rFonts w:cstheme="minorHAnsi"/>
        </w:rPr>
      </w:pPr>
      <w:r w:rsidRPr="00D60356">
        <w:rPr>
          <w:rFonts w:cstheme="minorHAnsi"/>
        </w:rPr>
        <w:t xml:space="preserve">notkun gerviauðkenna og </w:t>
      </w:r>
      <w:proofErr w:type="spellStart"/>
      <w:r w:rsidRPr="00D60356">
        <w:rPr>
          <w:rFonts w:cstheme="minorHAnsi"/>
        </w:rPr>
        <w:t>dulkóðun</w:t>
      </w:r>
      <w:proofErr w:type="spellEnd"/>
      <w:r w:rsidRPr="00D60356">
        <w:rPr>
          <w:rFonts w:cstheme="minorHAnsi"/>
        </w:rPr>
        <w:t xml:space="preserve"> á upplýsingum</w:t>
      </w:r>
    </w:p>
    <w:p w14:paraId="20B42961" w14:textId="77777777" w:rsidR="007F1AD1" w:rsidRPr="00D60356" w:rsidRDefault="007F1AD1" w:rsidP="007F1AD1">
      <w:pPr>
        <w:pStyle w:val="Mlsgreinlista"/>
        <w:numPr>
          <w:ilvl w:val="0"/>
          <w:numId w:val="2"/>
        </w:numPr>
        <w:rPr>
          <w:rFonts w:cstheme="minorHAnsi"/>
        </w:rPr>
      </w:pPr>
      <w:r w:rsidRPr="00D60356">
        <w:rPr>
          <w:rFonts w:cstheme="minorHAnsi"/>
        </w:rPr>
        <w:lastRenderedPageBreak/>
        <w:t>möguleikum á að tryggja áframhaldandi trúnað, áreiðanleika, tiltækileika og álagsþol þeirra kerfa sem notuð eru og þeirrar þjónustu sem boðið er upp á,</w:t>
      </w:r>
    </w:p>
    <w:p w14:paraId="3AA42D07" w14:textId="77777777" w:rsidR="007F1AD1" w:rsidRPr="00D60356" w:rsidRDefault="007F1AD1" w:rsidP="007F1AD1">
      <w:pPr>
        <w:pStyle w:val="Mlsgreinlista"/>
        <w:numPr>
          <w:ilvl w:val="0"/>
          <w:numId w:val="2"/>
        </w:numPr>
        <w:rPr>
          <w:rFonts w:cstheme="minorHAnsi"/>
        </w:rPr>
      </w:pPr>
      <w:r w:rsidRPr="00D60356">
        <w:rPr>
          <w:rFonts w:cstheme="minorHAnsi"/>
        </w:rPr>
        <w:t xml:space="preserve">möguleikum á að endurvekja tiltækileika og aðgang að persónuupplýsingum innan viðeigandi tímamarka í kjölfar fráviks, hvort sem það er raunlægs eða tæknilegs eðlis. </w:t>
      </w:r>
    </w:p>
    <w:p w14:paraId="476047A0" w14:textId="77777777" w:rsidR="007F1AD1" w:rsidRPr="00D60356" w:rsidRDefault="007F1AD1" w:rsidP="007F1AD1">
      <w:pPr>
        <w:pStyle w:val="Mlsgreinlista"/>
        <w:numPr>
          <w:ilvl w:val="0"/>
          <w:numId w:val="2"/>
        </w:numPr>
        <w:rPr>
          <w:rFonts w:cstheme="minorHAnsi"/>
        </w:rPr>
      </w:pPr>
      <w:r w:rsidRPr="00D60356">
        <w:rPr>
          <w:rFonts w:cstheme="minorHAnsi"/>
        </w:rPr>
        <w:t xml:space="preserve">verkferli fyrir reglubundnar prófanir og mat á virkni hinna tæknilegu og skipulagslegu ráðstafana sem gerðar hafa verið til að tryggja öryggi vinnslunnar. </w:t>
      </w:r>
    </w:p>
    <w:p w14:paraId="53A8960C" w14:textId="77777777" w:rsidR="007F1AD1" w:rsidRPr="00D60356" w:rsidRDefault="007F1AD1" w:rsidP="007F1AD1">
      <w:pPr>
        <w:pStyle w:val="Mlsgreinlista"/>
        <w:numPr>
          <w:ilvl w:val="0"/>
          <w:numId w:val="2"/>
        </w:numPr>
        <w:rPr>
          <w:rFonts w:cstheme="minorHAnsi"/>
        </w:rPr>
      </w:pPr>
      <w:r w:rsidRPr="00D60356">
        <w:rPr>
          <w:rFonts w:cstheme="minorHAnsi"/>
        </w:rPr>
        <w:t xml:space="preserve">notkun aðgangshindrana að upplýsingum </w:t>
      </w:r>
    </w:p>
    <w:p w14:paraId="05912ACC" w14:textId="77777777" w:rsidR="007F1AD1" w:rsidRPr="00D60356" w:rsidRDefault="007F1AD1" w:rsidP="007F1AD1">
      <w:pPr>
        <w:pStyle w:val="Mlsgreinlista"/>
        <w:numPr>
          <w:ilvl w:val="0"/>
          <w:numId w:val="2"/>
        </w:numPr>
        <w:rPr>
          <w:rFonts w:cstheme="minorHAnsi"/>
        </w:rPr>
      </w:pPr>
      <w:r w:rsidRPr="00D60356">
        <w:rPr>
          <w:rFonts w:cstheme="minorHAnsi"/>
        </w:rPr>
        <w:t xml:space="preserve">möguleikum á að upplýsingum sé veitt vernd í flutningi </w:t>
      </w:r>
    </w:p>
    <w:p w14:paraId="2D237ED2" w14:textId="2DABBD39" w:rsidR="007F1AD1" w:rsidRPr="00D60356" w:rsidRDefault="007F1AD1" w:rsidP="007F1AD1">
      <w:pPr>
        <w:pStyle w:val="Mlsgreinlista"/>
        <w:numPr>
          <w:ilvl w:val="0"/>
          <w:numId w:val="2"/>
        </w:numPr>
        <w:rPr>
          <w:rFonts w:cstheme="minorHAnsi"/>
        </w:rPr>
      </w:pPr>
      <w:r w:rsidRPr="00D60356">
        <w:rPr>
          <w:rFonts w:cstheme="minorHAnsi"/>
        </w:rPr>
        <w:t>möguleikum á að upplýsingum sé veitt vernd í geymslu</w:t>
      </w:r>
    </w:p>
    <w:p w14:paraId="45C5064C" w14:textId="3086F44C" w:rsidR="007F1AD1" w:rsidRPr="00D60356" w:rsidRDefault="007F1AD1" w:rsidP="007F1AD1">
      <w:pPr>
        <w:pStyle w:val="Mlsgreinlista"/>
        <w:numPr>
          <w:ilvl w:val="0"/>
          <w:numId w:val="2"/>
        </w:numPr>
        <w:rPr>
          <w:rFonts w:cstheme="minorHAnsi"/>
        </w:rPr>
      </w:pPr>
      <w:r w:rsidRPr="00D60356">
        <w:rPr>
          <w:rFonts w:cstheme="minorHAnsi"/>
        </w:rPr>
        <w:t>Vinnsluaðili undirgengst að innleiða öryggisráðstafanir í samræmi við [hátternisreglur, vottun, ISO-staðal.</w:t>
      </w:r>
    </w:p>
    <w:p w14:paraId="408D69CE" w14:textId="6C13315D" w:rsidR="007F1AD1" w:rsidRPr="00D60356" w:rsidRDefault="007F1AD1" w:rsidP="007F1AD1">
      <w:pPr>
        <w:rPr>
          <w:rFonts w:asciiTheme="minorHAnsi" w:hAnsiTheme="minorHAnsi" w:cstheme="minorHAnsi"/>
        </w:rPr>
      </w:pPr>
      <w:r w:rsidRPr="00D60356">
        <w:rPr>
          <w:rFonts w:asciiTheme="minorHAnsi" w:hAnsiTheme="minorHAnsi" w:cstheme="minorHAnsi"/>
        </w:rPr>
        <w:t>[Til að tryggja sem besta reglufylgni er mælt með því að í samningnum sé nákvæmlega mælt fyrir um á hverju hver samningsaðili fyrir sig beri ábyrgð þegar kemur að innleiðingu öryggisráðstafana.]</w:t>
      </w:r>
    </w:p>
    <w:p w14:paraId="37599FEB" w14:textId="77777777" w:rsidR="007F1AD1" w:rsidRPr="00D60356" w:rsidRDefault="007F1AD1" w:rsidP="007F1AD1">
      <w:pPr>
        <w:rPr>
          <w:rFonts w:asciiTheme="minorHAnsi" w:hAnsiTheme="minorHAnsi" w:cstheme="minorHAnsi"/>
        </w:rPr>
      </w:pPr>
    </w:p>
    <w:p w14:paraId="569E0259" w14:textId="3CEBBAA5" w:rsidR="00725649" w:rsidRPr="00D60356" w:rsidRDefault="00725649" w:rsidP="00725649">
      <w:pPr>
        <w:rPr>
          <w:rFonts w:asciiTheme="minorHAnsi" w:hAnsiTheme="minorHAnsi" w:cstheme="minorHAnsi"/>
          <w:i/>
          <w:iCs/>
        </w:rPr>
      </w:pPr>
      <w:r w:rsidRPr="00D60356">
        <w:rPr>
          <w:rFonts w:asciiTheme="minorHAnsi" w:hAnsiTheme="minorHAnsi" w:cstheme="minorHAnsi"/>
          <w:i/>
          <w:iCs/>
        </w:rPr>
        <w:t xml:space="preserve">B.3. Aðstoð gagnvart ábyrgðaraðila við að uppfylla skilyrði almennu persónuverndarreglugerðarinnar. </w:t>
      </w:r>
    </w:p>
    <w:p w14:paraId="06CCE561" w14:textId="339FDFC0" w:rsidR="00725649" w:rsidRPr="00D60356" w:rsidRDefault="00725649" w:rsidP="00725649">
      <w:pPr>
        <w:rPr>
          <w:rFonts w:asciiTheme="minorHAnsi" w:hAnsiTheme="minorHAnsi" w:cstheme="minorHAnsi"/>
        </w:rPr>
      </w:pPr>
      <w:r w:rsidRPr="00D60356">
        <w:rPr>
          <w:rFonts w:asciiTheme="minorHAnsi" w:hAnsiTheme="minorHAnsi" w:cstheme="minorHAnsi"/>
        </w:rPr>
        <w:t xml:space="preserve">Vinnsluaðili skal, að svo miklu leyfi sem það er mögulegt, aðstoða ábyrgðaraðila við að framkvæma mat á áhrifum á persónuvernd líkt og lýst er hér að neðan: </w:t>
      </w:r>
      <w:r w:rsidR="00D20588" w:rsidRPr="00D60356">
        <w:rPr>
          <w:rFonts w:asciiTheme="minorHAnsi" w:hAnsiTheme="minorHAnsi" w:cstheme="minorHAnsi"/>
        </w:rPr>
        <w:t>[Lýsing á umfangi aðstoðarinnar sem vinnsluaðili veitir ábyrgðaraðila]</w:t>
      </w:r>
    </w:p>
    <w:p w14:paraId="16D77A1C" w14:textId="77777777" w:rsidR="00D20588" w:rsidRPr="00D60356" w:rsidRDefault="00D20588" w:rsidP="00725649">
      <w:pPr>
        <w:rPr>
          <w:rFonts w:asciiTheme="minorHAnsi" w:hAnsiTheme="minorHAnsi" w:cstheme="minorHAnsi"/>
        </w:rPr>
      </w:pPr>
    </w:p>
    <w:p w14:paraId="4E50218F" w14:textId="17579AB9" w:rsidR="00725649" w:rsidRPr="00D60356" w:rsidRDefault="00725649" w:rsidP="00725649">
      <w:pPr>
        <w:rPr>
          <w:rFonts w:asciiTheme="minorHAnsi" w:hAnsiTheme="minorHAnsi" w:cstheme="minorHAnsi"/>
        </w:rPr>
      </w:pPr>
      <w:r w:rsidRPr="00D60356">
        <w:rPr>
          <w:rFonts w:asciiTheme="minorHAnsi" w:hAnsiTheme="minorHAnsi" w:cstheme="minorHAnsi"/>
        </w:rPr>
        <w:t xml:space="preserve">Vinnsluaðili skal aðstoða ábyrgðaraðila við að uppfylla ákvæði reglugerðarinnar um </w:t>
      </w:r>
      <w:proofErr w:type="spellStart"/>
      <w:r w:rsidRPr="00D60356">
        <w:rPr>
          <w:rFonts w:asciiTheme="minorHAnsi" w:hAnsiTheme="minorHAnsi" w:cstheme="minorHAnsi"/>
        </w:rPr>
        <w:t>fyrirframsamráð</w:t>
      </w:r>
      <w:proofErr w:type="spellEnd"/>
      <w:r w:rsidRPr="00D60356">
        <w:rPr>
          <w:rFonts w:asciiTheme="minorHAnsi" w:hAnsiTheme="minorHAnsi" w:cstheme="minorHAnsi"/>
        </w:rPr>
        <w:t xml:space="preserve"> við eftirlitsyfirvaldið.</w:t>
      </w:r>
    </w:p>
    <w:p w14:paraId="310FA40D" w14:textId="77777777" w:rsidR="00725649" w:rsidRPr="00D60356" w:rsidRDefault="00725649" w:rsidP="00725649">
      <w:pPr>
        <w:rPr>
          <w:rFonts w:asciiTheme="minorHAnsi" w:hAnsiTheme="minorHAnsi" w:cstheme="minorHAnsi"/>
        </w:rPr>
      </w:pPr>
    </w:p>
    <w:p w14:paraId="732438F2" w14:textId="539E16DC" w:rsidR="00725649" w:rsidRPr="00D60356" w:rsidRDefault="00725649" w:rsidP="00725649">
      <w:pPr>
        <w:rPr>
          <w:rFonts w:asciiTheme="minorHAnsi" w:hAnsiTheme="minorHAnsi" w:cstheme="minorHAnsi"/>
          <w:i/>
          <w:iCs/>
        </w:rPr>
      </w:pPr>
      <w:r w:rsidRPr="00D60356">
        <w:rPr>
          <w:rFonts w:asciiTheme="minorHAnsi" w:hAnsiTheme="minorHAnsi" w:cstheme="minorHAnsi"/>
          <w:i/>
          <w:iCs/>
        </w:rPr>
        <w:t>B.4. Geymslutímabil/eyðing gagna</w:t>
      </w:r>
    </w:p>
    <w:p w14:paraId="72DFCB30" w14:textId="0B8F3713" w:rsidR="00D20588" w:rsidRPr="00D60356" w:rsidRDefault="00D20588" w:rsidP="00725649">
      <w:pPr>
        <w:rPr>
          <w:rFonts w:asciiTheme="minorHAnsi" w:hAnsiTheme="minorHAnsi" w:cstheme="minorHAnsi"/>
        </w:rPr>
      </w:pPr>
      <w:r w:rsidRPr="00D60356">
        <w:rPr>
          <w:rFonts w:asciiTheme="minorHAnsi" w:hAnsiTheme="minorHAnsi" w:cstheme="minorHAnsi"/>
        </w:rPr>
        <w:t>[</w:t>
      </w:r>
      <w:proofErr w:type="spellStart"/>
      <w:r w:rsidRPr="00D60356">
        <w:rPr>
          <w:rFonts w:asciiTheme="minorHAnsi" w:hAnsiTheme="minorHAnsi" w:cstheme="minorHAnsi"/>
        </w:rPr>
        <w:t>Tilgreining</w:t>
      </w:r>
      <w:proofErr w:type="spellEnd"/>
      <w:r w:rsidRPr="00D60356">
        <w:rPr>
          <w:rFonts w:asciiTheme="minorHAnsi" w:hAnsiTheme="minorHAnsi" w:cstheme="minorHAnsi"/>
        </w:rPr>
        <w:t xml:space="preserve"> á varðveislutíma og aðferð við eyðingu]</w:t>
      </w:r>
    </w:p>
    <w:p w14:paraId="3ED594F9" w14:textId="77777777" w:rsidR="00725649" w:rsidRPr="00D60356" w:rsidRDefault="00725649" w:rsidP="00725649">
      <w:pPr>
        <w:rPr>
          <w:rFonts w:asciiTheme="minorHAnsi" w:hAnsiTheme="minorHAnsi" w:cstheme="minorHAnsi"/>
        </w:rPr>
      </w:pPr>
    </w:p>
    <w:p w14:paraId="0D04E383" w14:textId="10407CAB" w:rsidR="00725649" w:rsidRPr="00D60356" w:rsidRDefault="00725649" w:rsidP="00725649">
      <w:pPr>
        <w:rPr>
          <w:rFonts w:asciiTheme="minorHAnsi" w:hAnsiTheme="minorHAnsi" w:cstheme="minorHAnsi"/>
          <w:i/>
          <w:iCs/>
        </w:rPr>
      </w:pPr>
      <w:r w:rsidRPr="00D60356">
        <w:rPr>
          <w:rFonts w:asciiTheme="minorHAnsi" w:hAnsiTheme="minorHAnsi" w:cstheme="minorHAnsi"/>
          <w:i/>
          <w:iCs/>
        </w:rPr>
        <w:t>B.5. Leiðbeiningar varðandi flutninga persónuupplýsinga til þriðju landa</w:t>
      </w:r>
    </w:p>
    <w:p w14:paraId="14FB5868" w14:textId="6F099BA7" w:rsidR="00D20588" w:rsidRPr="00D60356" w:rsidRDefault="00D20588" w:rsidP="00725649">
      <w:pPr>
        <w:rPr>
          <w:rFonts w:asciiTheme="minorHAnsi" w:hAnsiTheme="minorHAnsi" w:cstheme="minorHAnsi"/>
        </w:rPr>
      </w:pPr>
      <w:r w:rsidRPr="00D60356">
        <w:rPr>
          <w:rFonts w:asciiTheme="minorHAnsi" w:hAnsiTheme="minorHAnsi" w:cstheme="minorHAnsi"/>
        </w:rPr>
        <w:t>[Lýsing á hvernig standa skuli að flutningi persónuupplýsinga til þriðju landa eða alþjóðastofnan, og ástæðu flutnings með vísan til V. kafla persónuverndarreglugerðarinnar.]</w:t>
      </w:r>
    </w:p>
    <w:p w14:paraId="5D3FCE5D" w14:textId="77777777" w:rsidR="00725649" w:rsidRPr="00D60356" w:rsidRDefault="00725649" w:rsidP="00725649">
      <w:pPr>
        <w:rPr>
          <w:rFonts w:asciiTheme="minorHAnsi" w:hAnsiTheme="minorHAnsi" w:cstheme="minorHAnsi"/>
        </w:rPr>
      </w:pPr>
    </w:p>
    <w:p w14:paraId="54214681" w14:textId="6BE4A850" w:rsidR="009F54B6" w:rsidRPr="00D60356" w:rsidRDefault="009F54B6" w:rsidP="00725649">
      <w:pPr>
        <w:rPr>
          <w:rFonts w:asciiTheme="minorHAnsi" w:hAnsiTheme="minorHAnsi" w:cstheme="minorHAnsi"/>
        </w:rPr>
      </w:pPr>
    </w:p>
    <w:sectPr w:rsidR="009F54B6" w:rsidRPr="00D60356" w:rsidSect="00D60356">
      <w:head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B6CB" w14:textId="77777777" w:rsidR="00D60356" w:rsidRDefault="00D60356" w:rsidP="00D60356">
      <w:r>
        <w:separator/>
      </w:r>
    </w:p>
  </w:endnote>
  <w:endnote w:type="continuationSeparator" w:id="0">
    <w:p w14:paraId="0CAC3C31" w14:textId="77777777" w:rsidR="00D60356" w:rsidRDefault="00D60356" w:rsidP="00D6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E0194" w14:textId="77777777" w:rsidR="00D60356" w:rsidRDefault="00D60356" w:rsidP="00D60356">
      <w:r>
        <w:separator/>
      </w:r>
    </w:p>
  </w:footnote>
  <w:footnote w:type="continuationSeparator" w:id="0">
    <w:p w14:paraId="05729A14" w14:textId="77777777" w:rsidR="00D60356" w:rsidRDefault="00D60356" w:rsidP="00D6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DA59" w14:textId="77777777" w:rsidR="00D60356" w:rsidRDefault="00D60356" w:rsidP="00D60356">
    <w:pPr>
      <w:pStyle w:val="Suhaus"/>
    </w:pPr>
    <w:r>
      <w:rPr>
        <w:noProof/>
      </w:rPr>
      <w:drawing>
        <wp:anchor distT="0" distB="0" distL="114300" distR="114300" simplePos="0" relativeHeight="251659264" behindDoc="1" locked="0" layoutInCell="1" allowOverlap="1" wp14:anchorId="00901869" wp14:editId="330519E9">
          <wp:simplePos x="0" y="0"/>
          <wp:positionH relativeFrom="margin">
            <wp:align>left</wp:align>
          </wp:positionH>
          <wp:positionV relativeFrom="paragraph">
            <wp:posOffset>-225823</wp:posOffset>
          </wp:positionV>
          <wp:extent cx="689610" cy="6762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M</w:t>
    </w:r>
    <w:r>
      <w:t>at á áhrifum á persónuvernd – sniðmát</w:t>
    </w:r>
  </w:p>
  <w:p w14:paraId="49EF68B1" w14:textId="77777777" w:rsidR="00D60356" w:rsidRDefault="00D60356" w:rsidP="00D60356">
    <w:pPr>
      <w:pStyle w:val="Suhaus"/>
    </w:pPr>
    <w:r>
      <w:tab/>
    </w:r>
    <w:r>
      <w:tab/>
      <w:t>Umbra – þjónustumiðstöð Stjórnarráðsins</w:t>
    </w:r>
  </w:p>
  <w:p w14:paraId="2F03F68D" w14:textId="77777777" w:rsidR="00D60356" w:rsidRDefault="00D60356">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78DF"/>
    <w:multiLevelType w:val="hybridMultilevel"/>
    <w:tmpl w:val="A7C8377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7E752B63"/>
    <w:multiLevelType w:val="hybridMultilevel"/>
    <w:tmpl w:val="7E46DC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B6"/>
    <w:rsid w:val="0017484A"/>
    <w:rsid w:val="001A7BF2"/>
    <w:rsid w:val="003E1939"/>
    <w:rsid w:val="006B08A0"/>
    <w:rsid w:val="00725649"/>
    <w:rsid w:val="00793F9F"/>
    <w:rsid w:val="007C4419"/>
    <w:rsid w:val="007F1AD1"/>
    <w:rsid w:val="009F54B6"/>
    <w:rsid w:val="00D20588"/>
    <w:rsid w:val="00D412E1"/>
    <w:rsid w:val="00D603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A894"/>
  <w15:chartTrackingRefBased/>
  <w15:docId w15:val="{AFC86F4A-1658-43D4-AFB0-79ACF238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17484A"/>
    <w:pPr>
      <w:spacing w:after="0" w:line="240" w:lineRule="auto"/>
    </w:pPr>
    <w:rPr>
      <w:rFonts w:ascii="Times New Roman" w:hAnsi="Times New Roman"/>
    </w:rPr>
  </w:style>
  <w:style w:type="paragraph" w:styleId="Fyrirsgn1">
    <w:name w:val="heading 1"/>
    <w:basedOn w:val="Venjulegur"/>
    <w:next w:val="Venjulegur"/>
    <w:link w:val="Fyrirsgn1Staf"/>
    <w:uiPriority w:val="9"/>
    <w:qFormat/>
    <w:rsid w:val="0017484A"/>
    <w:pPr>
      <w:keepNext/>
      <w:keepLines/>
      <w:outlineLvl w:val="0"/>
    </w:pPr>
    <w:rPr>
      <w:rFonts w:eastAsiaTheme="majorEastAsia" w:cstheme="majorBidi"/>
      <w:b/>
      <w:sz w:val="28"/>
      <w:szCs w:val="32"/>
    </w:rPr>
  </w:style>
  <w:style w:type="paragraph" w:styleId="Fyrirsgn2">
    <w:name w:val="heading 2"/>
    <w:basedOn w:val="Venjulegur"/>
    <w:next w:val="Venjulegur"/>
    <w:link w:val="Fyrirsgn2Staf"/>
    <w:uiPriority w:val="9"/>
    <w:semiHidden/>
    <w:unhideWhenUsed/>
    <w:qFormat/>
    <w:rsid w:val="0017484A"/>
    <w:pPr>
      <w:keepNext/>
      <w:keepLines/>
      <w:outlineLvl w:val="1"/>
    </w:pPr>
    <w:rPr>
      <w:rFonts w:eastAsiaTheme="majorEastAsia" w:cstheme="majorBidi"/>
      <w:b/>
      <w:sz w:val="24"/>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17484A"/>
    <w:rPr>
      <w:rFonts w:ascii="Times New Roman" w:eastAsiaTheme="majorEastAsia" w:hAnsi="Times New Roman" w:cstheme="majorBidi"/>
      <w:b/>
      <w:sz w:val="28"/>
      <w:szCs w:val="32"/>
    </w:rPr>
  </w:style>
  <w:style w:type="character" w:customStyle="1" w:styleId="Fyrirsgn2Staf">
    <w:name w:val="Fyrirsögn 2 Staf"/>
    <w:basedOn w:val="Sjlfgefinleturgermlsgreinar"/>
    <w:link w:val="Fyrirsgn2"/>
    <w:uiPriority w:val="9"/>
    <w:semiHidden/>
    <w:rsid w:val="0017484A"/>
    <w:rPr>
      <w:rFonts w:ascii="Times New Roman" w:eastAsiaTheme="majorEastAsia" w:hAnsi="Times New Roman" w:cstheme="majorBidi"/>
      <w:b/>
      <w:sz w:val="24"/>
      <w:szCs w:val="26"/>
    </w:rPr>
  </w:style>
  <w:style w:type="paragraph" w:styleId="Blrutexti">
    <w:name w:val="Balloon Text"/>
    <w:basedOn w:val="Venjulegur"/>
    <w:link w:val="BlrutextiStaf"/>
    <w:uiPriority w:val="99"/>
    <w:semiHidden/>
    <w:unhideWhenUsed/>
    <w:rsid w:val="009F54B6"/>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F54B6"/>
    <w:rPr>
      <w:rFonts w:ascii="Segoe UI" w:hAnsi="Segoe UI" w:cs="Segoe UI"/>
      <w:sz w:val="18"/>
      <w:szCs w:val="18"/>
    </w:rPr>
  </w:style>
  <w:style w:type="character" w:styleId="Tilvsunathugasemd">
    <w:name w:val="annotation reference"/>
    <w:basedOn w:val="Sjlfgefinleturgermlsgreinar"/>
    <w:uiPriority w:val="99"/>
    <w:semiHidden/>
    <w:unhideWhenUsed/>
    <w:rsid w:val="009F54B6"/>
    <w:rPr>
      <w:sz w:val="16"/>
      <w:szCs w:val="16"/>
    </w:rPr>
  </w:style>
  <w:style w:type="paragraph" w:styleId="Textiathugasemdar">
    <w:name w:val="annotation text"/>
    <w:basedOn w:val="Venjulegur"/>
    <w:link w:val="TextiathugasemdarStaf"/>
    <w:uiPriority w:val="99"/>
    <w:semiHidden/>
    <w:unhideWhenUsed/>
    <w:rsid w:val="009F54B6"/>
    <w:pPr>
      <w:spacing w:after="160"/>
    </w:pPr>
    <w:rPr>
      <w:rFonts w:asciiTheme="minorHAnsi" w:hAnsiTheme="minorHAnsi"/>
      <w:sz w:val="20"/>
      <w:szCs w:val="20"/>
    </w:rPr>
  </w:style>
  <w:style w:type="character" w:customStyle="1" w:styleId="TextiathugasemdarStaf">
    <w:name w:val="Texti athugasemdar Staf"/>
    <w:basedOn w:val="Sjlfgefinleturgermlsgreinar"/>
    <w:link w:val="Textiathugasemdar"/>
    <w:uiPriority w:val="99"/>
    <w:semiHidden/>
    <w:rsid w:val="009F54B6"/>
    <w:rPr>
      <w:sz w:val="20"/>
      <w:szCs w:val="20"/>
    </w:rPr>
  </w:style>
  <w:style w:type="paragraph" w:styleId="Mlsgreinlista">
    <w:name w:val="List Paragraph"/>
    <w:basedOn w:val="Venjulegur"/>
    <w:uiPriority w:val="34"/>
    <w:qFormat/>
    <w:rsid w:val="009F54B6"/>
    <w:pPr>
      <w:spacing w:after="160" w:line="259" w:lineRule="auto"/>
      <w:ind w:left="720"/>
      <w:contextualSpacing/>
    </w:pPr>
    <w:rPr>
      <w:rFonts w:asciiTheme="minorHAnsi" w:hAnsiTheme="minorHAnsi"/>
    </w:rPr>
  </w:style>
  <w:style w:type="character" w:styleId="Tengill">
    <w:name w:val="Hyperlink"/>
    <w:basedOn w:val="Sjlfgefinleturgermlsgreinar"/>
    <w:uiPriority w:val="99"/>
    <w:unhideWhenUsed/>
    <w:rsid w:val="009F54B6"/>
    <w:rPr>
      <w:color w:val="0563C1" w:themeColor="hyperlink"/>
      <w:u w:val="single"/>
    </w:rPr>
  </w:style>
  <w:style w:type="paragraph" w:styleId="Suhaus">
    <w:name w:val="header"/>
    <w:basedOn w:val="Venjulegur"/>
    <w:link w:val="SuhausStaf"/>
    <w:uiPriority w:val="99"/>
    <w:unhideWhenUsed/>
    <w:rsid w:val="00D60356"/>
    <w:pPr>
      <w:tabs>
        <w:tab w:val="center" w:pos="4536"/>
        <w:tab w:val="right" w:pos="9072"/>
      </w:tabs>
    </w:pPr>
  </w:style>
  <w:style w:type="character" w:customStyle="1" w:styleId="SuhausStaf">
    <w:name w:val="Síðuhaus Staf"/>
    <w:basedOn w:val="Sjlfgefinleturgermlsgreinar"/>
    <w:link w:val="Suhaus"/>
    <w:uiPriority w:val="99"/>
    <w:rsid w:val="00D60356"/>
    <w:rPr>
      <w:rFonts w:ascii="Times New Roman" w:hAnsi="Times New Roman"/>
    </w:rPr>
  </w:style>
  <w:style w:type="paragraph" w:styleId="Suftur">
    <w:name w:val="footer"/>
    <w:basedOn w:val="Venjulegur"/>
    <w:link w:val="SufturStaf"/>
    <w:uiPriority w:val="99"/>
    <w:unhideWhenUsed/>
    <w:rsid w:val="00D60356"/>
    <w:pPr>
      <w:tabs>
        <w:tab w:val="center" w:pos="4536"/>
        <w:tab w:val="right" w:pos="9072"/>
      </w:tabs>
    </w:pPr>
  </w:style>
  <w:style w:type="character" w:customStyle="1" w:styleId="SufturStaf">
    <w:name w:val="Síðufótur Staf"/>
    <w:basedOn w:val="Sjlfgefinleturgermlsgreinar"/>
    <w:link w:val="Suftur"/>
    <w:uiPriority w:val="99"/>
    <w:rsid w:val="00D6035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F9CF3B1AFAF449A6611D56884CD26" ma:contentTypeVersion="4" ma:contentTypeDescription="Create a new document." ma:contentTypeScope="" ma:versionID="dbe179ab075d688e4122101ab7b8b082">
  <xsd:schema xmlns:xsd="http://www.w3.org/2001/XMLSchema" xmlns:xs="http://www.w3.org/2001/XMLSchema" xmlns:p="http://schemas.microsoft.com/office/2006/metadata/properties" xmlns:ns2="9e0dd4c9-266e-41d3-8796-b474c705bc57" targetNamespace="http://schemas.microsoft.com/office/2006/metadata/properties" ma:root="true" ma:fieldsID="28660c3f50906b606528a6e085331a50" ns2:_="">
    <xsd:import namespace="9e0dd4c9-266e-41d3-8796-b474c705b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dd4c9-266e-41d3-8796-b474c705b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786C7-C659-4DAE-A796-E455809057A2}"/>
</file>

<file path=customXml/itemProps2.xml><?xml version="1.0" encoding="utf-8"?>
<ds:datastoreItem xmlns:ds="http://schemas.openxmlformats.org/officeDocument/2006/customXml" ds:itemID="{7F714DF0-0ACC-41CB-BD49-6C61CBF7807A}">
  <ds:schemaRefs>
    <ds:schemaRef ds:uri="http://schemas.microsoft.com/sharepoint/v3/contenttype/forms"/>
  </ds:schemaRefs>
</ds:datastoreItem>
</file>

<file path=customXml/itemProps3.xml><?xml version="1.0" encoding="utf-8"?>
<ds:datastoreItem xmlns:ds="http://schemas.openxmlformats.org/officeDocument/2006/customXml" ds:itemID="{8BCDDB9C-6505-482D-B038-1F0F98BD9B2C}">
  <ds:schemaRefs>
    <ds:schemaRef ds:uri="699b1e18-6bb6-4923-bafe-43f1a35df2ae"/>
    <ds:schemaRef ds:uri="http://purl.org/dc/terms/"/>
    <ds:schemaRef ds:uri="http://schemas.openxmlformats.org/package/2006/metadata/core-properties"/>
    <ds:schemaRef ds:uri="0a1eb437-9e96-4048-8b87-a9c5f085bc9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Heiðar Kristinsson</dc:creator>
  <cp:keywords/>
  <dc:description/>
  <cp:lastModifiedBy>Daði Heiðar Kristinsson</cp:lastModifiedBy>
  <cp:revision>2</cp:revision>
  <dcterms:created xsi:type="dcterms:W3CDTF">2021-12-10T13:48:00Z</dcterms:created>
  <dcterms:modified xsi:type="dcterms:W3CDTF">2021-12-10T13:48:00Z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0x0101006AAF9CF3B1AFAF449A6611D56884CD26</vt:lpwstr>
  </property>
</Properties>
</file>